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7B2" w:rsidRDefault="005267B2" w:rsidP="005267B2">
      <w:pPr>
        <w:pStyle w:val="NormlWeb"/>
        <w:spacing w:before="0" w:beforeAutospacing="0" w:after="0" w:afterAutospacing="0" w:line="276" w:lineRule="auto"/>
        <w:jc w:val="center"/>
        <w:rPr>
          <w:b/>
        </w:rPr>
      </w:pPr>
      <w:r>
        <w:rPr>
          <w:b/>
        </w:rPr>
        <w:t>RÉSZLETES LEÍRÁS, TANTERV ÉS TANTÁRGYI PROGRAMOK</w:t>
      </w:r>
    </w:p>
    <w:p w:rsidR="005267B2" w:rsidRDefault="005267B2" w:rsidP="005267B2">
      <w:pPr>
        <w:pStyle w:val="NormlWeb"/>
        <w:spacing w:before="0" w:beforeAutospacing="0" w:after="0" w:afterAutospacing="0" w:line="276" w:lineRule="auto"/>
        <w:jc w:val="center"/>
        <w:rPr>
          <w:b/>
        </w:rPr>
      </w:pPr>
    </w:p>
    <w:p w:rsidR="005267B2" w:rsidRPr="00D144E8" w:rsidRDefault="005267B2" w:rsidP="005267B2">
      <w:pPr>
        <w:pStyle w:val="NormlWeb"/>
        <w:spacing w:before="0" w:beforeAutospacing="0" w:after="0" w:afterAutospacing="0" w:line="276" w:lineRule="auto"/>
        <w:jc w:val="center"/>
        <w:rPr>
          <w:b/>
        </w:rPr>
      </w:pPr>
      <w:r w:rsidRPr="00D144E8">
        <w:rPr>
          <w:b/>
        </w:rPr>
        <w:t>ZONGORAMŰVÉSZ-SZÓLISTA SZAKIRÁNYÚ TOVÁBBKÉPZÉSI SZAK</w:t>
      </w:r>
    </w:p>
    <w:p w:rsidR="005267B2" w:rsidRDefault="005267B2" w:rsidP="005267B2">
      <w:pPr>
        <w:pStyle w:val="NormlWeb"/>
        <w:spacing w:before="0" w:beforeAutospacing="0" w:after="0" w:afterAutospacing="0" w:line="276" w:lineRule="auto"/>
        <w:jc w:val="both"/>
      </w:pPr>
    </w:p>
    <w:p w:rsidR="005267B2" w:rsidRDefault="005267B2" w:rsidP="005267B2">
      <w:pPr>
        <w:pStyle w:val="NormlWeb"/>
        <w:spacing w:before="0" w:beforeAutospacing="0" w:after="0" w:afterAutospacing="0" w:line="276" w:lineRule="auto"/>
        <w:jc w:val="both"/>
      </w:pPr>
    </w:p>
    <w:p w:rsidR="005267B2" w:rsidRDefault="005267B2" w:rsidP="005267B2">
      <w:pPr>
        <w:pStyle w:val="NormlWeb"/>
        <w:spacing w:before="0" w:beforeAutospacing="0" w:after="0" w:afterAutospacing="0" w:line="276" w:lineRule="auto"/>
        <w:jc w:val="both"/>
      </w:pPr>
      <w:r>
        <w:t>1. A képzési és kimeneti követelmények alapján kidolgozott tanterv és tantárgyi programok</w:t>
      </w:r>
    </w:p>
    <w:p w:rsidR="005267B2" w:rsidRDefault="005267B2" w:rsidP="005267B2">
      <w:pPr>
        <w:pStyle w:val="NormlWeb"/>
        <w:spacing w:before="0" w:beforeAutospacing="0" w:after="0" w:afterAutospacing="0" w:line="276" w:lineRule="auto"/>
        <w:jc w:val="both"/>
      </w:pPr>
    </w:p>
    <w:p w:rsidR="005267B2" w:rsidRDefault="005267B2" w:rsidP="005267B2">
      <w:pPr>
        <w:pStyle w:val="NormlWeb"/>
        <w:spacing w:before="0" w:beforeAutospacing="0" w:after="0" w:afterAutospacing="0" w:line="276" w:lineRule="auto"/>
        <w:jc w:val="both"/>
      </w:pPr>
    </w:p>
    <w:p w:rsidR="005267B2" w:rsidRDefault="005267B2" w:rsidP="005267B2">
      <w:pPr>
        <w:pStyle w:val="NormlWeb"/>
        <w:spacing w:before="0" w:beforeAutospacing="0" w:after="0" w:afterAutospacing="0" w:line="276" w:lineRule="auto"/>
        <w:jc w:val="both"/>
      </w:pPr>
    </w:p>
    <w:p w:rsidR="005267B2" w:rsidRPr="00D144E8" w:rsidRDefault="005267B2" w:rsidP="005267B2">
      <w:pPr>
        <w:pStyle w:val="NormlWeb"/>
        <w:spacing w:before="0" w:beforeAutospacing="0" w:after="240" w:afterAutospacing="0" w:line="276" w:lineRule="auto"/>
        <w:jc w:val="both"/>
        <w:rPr>
          <w:i/>
        </w:rPr>
      </w:pPr>
      <w:r w:rsidRPr="00D144E8">
        <w:rPr>
          <w:i/>
        </w:rPr>
        <w:t>A) TANTERV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1134"/>
        <w:gridCol w:w="1560"/>
        <w:gridCol w:w="1275"/>
        <w:gridCol w:w="2376"/>
      </w:tblGrid>
      <w:tr w:rsidR="005267B2" w:rsidTr="00F30E73">
        <w:tc>
          <w:tcPr>
            <w:tcW w:w="2943" w:type="dxa"/>
            <w:tcBorders>
              <w:bottom w:val="double" w:sz="4" w:space="0" w:color="auto"/>
            </w:tcBorders>
          </w:tcPr>
          <w:p w:rsidR="005267B2" w:rsidRPr="00C52E39" w:rsidRDefault="005267B2" w:rsidP="00F30E73">
            <w:pPr>
              <w:pStyle w:val="NormlWeb"/>
              <w:spacing w:before="0" w:beforeAutospacing="0" w:after="0" w:afterAutospacing="0" w:line="276" w:lineRule="auto"/>
              <w:jc w:val="both"/>
              <w:rPr>
                <w:b/>
              </w:rPr>
            </w:pPr>
            <w:r w:rsidRPr="00C52E39">
              <w:rPr>
                <w:b/>
              </w:rPr>
              <w:t>TANTÁRGY</w:t>
            </w:r>
          </w:p>
        </w:tc>
        <w:tc>
          <w:tcPr>
            <w:tcW w:w="1134" w:type="dxa"/>
            <w:tcBorders>
              <w:bottom w:val="double" w:sz="4" w:space="0" w:color="auto"/>
            </w:tcBorders>
          </w:tcPr>
          <w:p w:rsidR="005267B2" w:rsidRPr="00C52E39" w:rsidRDefault="005267B2" w:rsidP="00F30E73">
            <w:pPr>
              <w:pStyle w:val="NormlWeb"/>
              <w:spacing w:before="0" w:beforeAutospacing="0" w:after="0" w:afterAutospacing="0" w:line="276" w:lineRule="auto"/>
              <w:jc w:val="both"/>
              <w:rPr>
                <w:b/>
              </w:rPr>
            </w:pPr>
            <w:r w:rsidRPr="00C52E39">
              <w:rPr>
                <w:b/>
              </w:rPr>
              <w:t>FÉLÉV</w:t>
            </w:r>
          </w:p>
        </w:tc>
        <w:tc>
          <w:tcPr>
            <w:tcW w:w="1560" w:type="dxa"/>
            <w:tcBorders>
              <w:bottom w:val="double" w:sz="4" w:space="0" w:color="auto"/>
            </w:tcBorders>
          </w:tcPr>
          <w:p w:rsidR="005267B2" w:rsidRPr="00C52E39" w:rsidRDefault="005267B2" w:rsidP="00F30E73">
            <w:pPr>
              <w:pStyle w:val="NormlWeb"/>
              <w:spacing w:before="0" w:beforeAutospacing="0" w:after="0" w:afterAutospacing="0" w:line="276" w:lineRule="auto"/>
              <w:jc w:val="center"/>
              <w:rPr>
                <w:b/>
              </w:rPr>
            </w:pPr>
            <w:r>
              <w:rPr>
                <w:b/>
              </w:rPr>
              <w:t>ÓRASZÁM</w:t>
            </w:r>
          </w:p>
        </w:tc>
        <w:tc>
          <w:tcPr>
            <w:tcW w:w="1275" w:type="dxa"/>
            <w:tcBorders>
              <w:bottom w:val="double" w:sz="4" w:space="0" w:color="auto"/>
            </w:tcBorders>
          </w:tcPr>
          <w:p w:rsidR="005267B2" w:rsidRPr="00C52E39" w:rsidRDefault="005267B2" w:rsidP="00F30E73">
            <w:pPr>
              <w:pStyle w:val="NormlWeb"/>
              <w:spacing w:before="0" w:beforeAutospacing="0" w:after="0" w:afterAutospacing="0" w:line="276" w:lineRule="auto"/>
              <w:jc w:val="center"/>
              <w:rPr>
                <w:b/>
              </w:rPr>
            </w:pPr>
            <w:r w:rsidRPr="00C52E39">
              <w:rPr>
                <w:b/>
              </w:rPr>
              <w:t>KREDIT</w:t>
            </w:r>
          </w:p>
        </w:tc>
        <w:tc>
          <w:tcPr>
            <w:tcW w:w="2376" w:type="dxa"/>
            <w:tcBorders>
              <w:bottom w:val="double" w:sz="4" w:space="0" w:color="auto"/>
            </w:tcBorders>
          </w:tcPr>
          <w:p w:rsidR="005267B2" w:rsidRPr="00C52E39" w:rsidRDefault="005267B2" w:rsidP="00F30E73">
            <w:pPr>
              <w:pStyle w:val="NormlWeb"/>
              <w:spacing w:before="0" w:beforeAutospacing="0" w:after="0" w:afterAutospacing="0" w:line="276" w:lineRule="auto"/>
              <w:jc w:val="both"/>
              <w:rPr>
                <w:b/>
              </w:rPr>
            </w:pPr>
            <w:r>
              <w:rPr>
                <w:b/>
              </w:rPr>
              <w:t xml:space="preserve">SZÁMONKÉRÉS/ </w:t>
            </w:r>
            <w:r w:rsidRPr="00C52E39">
              <w:rPr>
                <w:b/>
              </w:rPr>
              <w:t>ÉRTÉKELÉS</w:t>
            </w:r>
          </w:p>
        </w:tc>
      </w:tr>
      <w:tr w:rsidR="005267B2" w:rsidTr="00F30E73">
        <w:tc>
          <w:tcPr>
            <w:tcW w:w="2943" w:type="dxa"/>
            <w:tcBorders>
              <w:top w:val="double" w:sz="4" w:space="0" w:color="auto"/>
            </w:tcBorders>
          </w:tcPr>
          <w:p w:rsidR="005267B2" w:rsidRDefault="005267B2" w:rsidP="00F30E73">
            <w:pPr>
              <w:pStyle w:val="NormlWeb"/>
              <w:spacing w:before="0" w:beforeAutospacing="0" w:after="0" w:afterAutospacing="0" w:line="276" w:lineRule="auto"/>
              <w:jc w:val="both"/>
            </w:pPr>
            <w:r>
              <w:t>Zongora főtárgy</w:t>
            </w:r>
          </w:p>
        </w:tc>
        <w:tc>
          <w:tcPr>
            <w:tcW w:w="1134" w:type="dxa"/>
            <w:tcBorders>
              <w:top w:val="double" w:sz="4" w:space="0" w:color="auto"/>
            </w:tcBorders>
          </w:tcPr>
          <w:p w:rsidR="005267B2" w:rsidRDefault="005267B2" w:rsidP="00F30E73">
            <w:pPr>
              <w:pStyle w:val="NormlWeb"/>
              <w:spacing w:before="0" w:beforeAutospacing="0" w:after="0" w:afterAutospacing="0" w:line="276" w:lineRule="auto"/>
              <w:jc w:val="center"/>
            </w:pPr>
            <w:r>
              <w:t>2</w:t>
            </w:r>
          </w:p>
        </w:tc>
        <w:tc>
          <w:tcPr>
            <w:tcW w:w="1560" w:type="dxa"/>
            <w:tcBorders>
              <w:top w:val="double" w:sz="4" w:space="0" w:color="auto"/>
            </w:tcBorders>
          </w:tcPr>
          <w:p w:rsidR="005267B2" w:rsidRDefault="005267B2" w:rsidP="00F30E73">
            <w:pPr>
              <w:pStyle w:val="NormlWeb"/>
              <w:spacing w:before="0" w:beforeAutospacing="0" w:after="0" w:afterAutospacing="0" w:line="276" w:lineRule="auto"/>
              <w:jc w:val="center"/>
            </w:pPr>
            <w:r>
              <w:t>heti 2</w:t>
            </w:r>
          </w:p>
        </w:tc>
        <w:tc>
          <w:tcPr>
            <w:tcW w:w="1275" w:type="dxa"/>
            <w:tcBorders>
              <w:top w:val="double" w:sz="4" w:space="0" w:color="auto"/>
            </w:tcBorders>
          </w:tcPr>
          <w:p w:rsidR="005267B2" w:rsidRDefault="005267B2" w:rsidP="00F30E73">
            <w:pPr>
              <w:pStyle w:val="NormlWeb"/>
              <w:spacing w:before="0" w:beforeAutospacing="0" w:after="0" w:afterAutospacing="0" w:line="276" w:lineRule="auto"/>
              <w:jc w:val="center"/>
            </w:pPr>
            <w:r>
              <w:t>26</w:t>
            </w:r>
          </w:p>
        </w:tc>
        <w:tc>
          <w:tcPr>
            <w:tcW w:w="2376" w:type="dxa"/>
            <w:tcBorders>
              <w:top w:val="double" w:sz="4" w:space="0" w:color="auto"/>
            </w:tcBorders>
          </w:tcPr>
          <w:p w:rsidR="005267B2" w:rsidRDefault="005267B2" w:rsidP="00F30E73">
            <w:pPr>
              <w:pStyle w:val="NormlWeb"/>
              <w:spacing w:before="0" w:beforeAutospacing="0" w:after="0" w:afterAutospacing="0" w:line="276" w:lineRule="auto"/>
            </w:pPr>
            <w:r>
              <w:t>vizsga</w:t>
            </w:r>
          </w:p>
          <w:p w:rsidR="005267B2" w:rsidRDefault="005267B2" w:rsidP="00F30E73">
            <w:pPr>
              <w:pStyle w:val="NormlWeb"/>
              <w:spacing w:before="0" w:beforeAutospacing="0" w:after="0" w:afterAutospacing="0" w:line="276" w:lineRule="auto"/>
            </w:pPr>
            <w:r>
              <w:t>(ötfokozatú érdemjegy)</w:t>
            </w:r>
          </w:p>
        </w:tc>
      </w:tr>
      <w:tr w:rsidR="005267B2" w:rsidTr="00F30E73">
        <w:tc>
          <w:tcPr>
            <w:tcW w:w="2943" w:type="dxa"/>
          </w:tcPr>
          <w:p w:rsidR="005267B2" w:rsidRDefault="005267B2" w:rsidP="00F30E73">
            <w:pPr>
              <w:pStyle w:val="NormlWeb"/>
              <w:spacing w:before="0" w:beforeAutospacing="0" w:after="0" w:afterAutospacing="0" w:line="276" w:lineRule="auto"/>
              <w:jc w:val="both"/>
            </w:pPr>
            <w:r>
              <w:t>Kamarazene</w:t>
            </w:r>
          </w:p>
        </w:tc>
        <w:tc>
          <w:tcPr>
            <w:tcW w:w="1134" w:type="dxa"/>
          </w:tcPr>
          <w:p w:rsidR="005267B2" w:rsidRDefault="005267B2" w:rsidP="00F30E73">
            <w:pPr>
              <w:pStyle w:val="NormlWeb"/>
              <w:spacing w:before="0" w:beforeAutospacing="0" w:after="0" w:afterAutospacing="0" w:line="276" w:lineRule="auto"/>
              <w:jc w:val="center"/>
            </w:pPr>
            <w:r>
              <w:t>2</w:t>
            </w:r>
          </w:p>
        </w:tc>
        <w:tc>
          <w:tcPr>
            <w:tcW w:w="1560" w:type="dxa"/>
          </w:tcPr>
          <w:p w:rsidR="005267B2" w:rsidRDefault="005267B2" w:rsidP="00F30E73">
            <w:pPr>
              <w:pStyle w:val="NormlWeb"/>
              <w:spacing w:before="0" w:beforeAutospacing="0" w:after="0" w:afterAutospacing="0" w:line="276" w:lineRule="auto"/>
              <w:jc w:val="center"/>
            </w:pPr>
            <w:r>
              <w:t>heti 1</w:t>
            </w:r>
          </w:p>
        </w:tc>
        <w:tc>
          <w:tcPr>
            <w:tcW w:w="1275" w:type="dxa"/>
          </w:tcPr>
          <w:p w:rsidR="005267B2" w:rsidRDefault="005267B2" w:rsidP="00F30E73">
            <w:pPr>
              <w:pStyle w:val="NormlWeb"/>
              <w:spacing w:before="0" w:beforeAutospacing="0" w:after="0" w:afterAutospacing="0" w:line="276" w:lineRule="auto"/>
              <w:jc w:val="center"/>
            </w:pPr>
            <w:r>
              <w:t>10</w:t>
            </w:r>
          </w:p>
        </w:tc>
        <w:tc>
          <w:tcPr>
            <w:tcW w:w="2376" w:type="dxa"/>
          </w:tcPr>
          <w:p w:rsidR="005267B2" w:rsidRDefault="005267B2" w:rsidP="00F30E73">
            <w:pPr>
              <w:pStyle w:val="NormlWeb"/>
              <w:spacing w:before="0" w:beforeAutospacing="0" w:after="0" w:afterAutospacing="0" w:line="276" w:lineRule="auto"/>
            </w:pPr>
            <w:r>
              <w:t>gyakorlati jegy</w:t>
            </w:r>
          </w:p>
          <w:p w:rsidR="005267B2" w:rsidRDefault="005267B2" w:rsidP="00F30E73">
            <w:pPr>
              <w:pStyle w:val="NormlWeb"/>
              <w:spacing w:before="0" w:beforeAutospacing="0" w:after="0" w:afterAutospacing="0" w:line="276" w:lineRule="auto"/>
            </w:pPr>
            <w:r>
              <w:t>(ötfokozatú)</w:t>
            </w:r>
          </w:p>
        </w:tc>
      </w:tr>
      <w:tr w:rsidR="005267B2" w:rsidTr="00F30E73">
        <w:tc>
          <w:tcPr>
            <w:tcW w:w="2943" w:type="dxa"/>
          </w:tcPr>
          <w:p w:rsidR="005267B2" w:rsidRDefault="005267B2" w:rsidP="00F30E73">
            <w:pPr>
              <w:pStyle w:val="NormlWeb"/>
              <w:spacing w:before="0" w:beforeAutospacing="0" w:after="0" w:afterAutospacing="0" w:line="276" w:lineRule="auto"/>
              <w:jc w:val="both"/>
            </w:pPr>
            <w:r>
              <w:t>Zenekari próbafolyamat/zenekari hospitálás</w:t>
            </w:r>
          </w:p>
        </w:tc>
        <w:tc>
          <w:tcPr>
            <w:tcW w:w="1134" w:type="dxa"/>
          </w:tcPr>
          <w:p w:rsidR="005267B2" w:rsidRDefault="005267B2" w:rsidP="00F30E73">
            <w:pPr>
              <w:pStyle w:val="NormlWeb"/>
              <w:spacing w:before="0" w:beforeAutospacing="0" w:after="0" w:afterAutospacing="0" w:line="276" w:lineRule="auto"/>
              <w:jc w:val="center"/>
            </w:pPr>
            <w:r>
              <w:t>2</w:t>
            </w:r>
          </w:p>
        </w:tc>
        <w:tc>
          <w:tcPr>
            <w:tcW w:w="1560" w:type="dxa"/>
          </w:tcPr>
          <w:p w:rsidR="005267B2" w:rsidRDefault="005267B2" w:rsidP="00F30E73">
            <w:pPr>
              <w:pStyle w:val="NormlWeb"/>
              <w:spacing w:before="0" w:beforeAutospacing="0" w:after="0" w:afterAutospacing="0" w:line="276" w:lineRule="auto"/>
              <w:jc w:val="center"/>
            </w:pPr>
            <w:r>
              <w:t>tömbösítve, félévente 15</w:t>
            </w:r>
          </w:p>
        </w:tc>
        <w:tc>
          <w:tcPr>
            <w:tcW w:w="1275" w:type="dxa"/>
          </w:tcPr>
          <w:p w:rsidR="005267B2" w:rsidRDefault="005267B2" w:rsidP="00F30E73">
            <w:pPr>
              <w:pStyle w:val="NormlWeb"/>
              <w:spacing w:before="0" w:beforeAutospacing="0" w:after="0" w:afterAutospacing="0" w:line="276" w:lineRule="auto"/>
              <w:jc w:val="center"/>
            </w:pPr>
            <w:r>
              <w:t>8</w:t>
            </w:r>
          </w:p>
        </w:tc>
        <w:tc>
          <w:tcPr>
            <w:tcW w:w="2376" w:type="dxa"/>
          </w:tcPr>
          <w:p w:rsidR="005267B2" w:rsidRDefault="005267B2" w:rsidP="00F30E73">
            <w:pPr>
              <w:pStyle w:val="NormlWeb"/>
              <w:spacing w:before="0" w:beforeAutospacing="0" w:after="0" w:afterAutospacing="0" w:line="276" w:lineRule="auto"/>
            </w:pPr>
            <w:r>
              <w:t>gyakorlati jegy</w:t>
            </w:r>
          </w:p>
          <w:p w:rsidR="005267B2" w:rsidRDefault="005267B2" w:rsidP="00F30E73">
            <w:pPr>
              <w:pStyle w:val="NormlWeb"/>
              <w:spacing w:before="0" w:beforeAutospacing="0" w:after="0" w:afterAutospacing="0" w:line="276" w:lineRule="auto"/>
            </w:pPr>
            <w:r>
              <w:t>(ötfokozatú)</w:t>
            </w:r>
          </w:p>
        </w:tc>
      </w:tr>
      <w:tr w:rsidR="005267B2" w:rsidTr="00F30E73">
        <w:tc>
          <w:tcPr>
            <w:tcW w:w="2943" w:type="dxa"/>
          </w:tcPr>
          <w:p w:rsidR="005267B2" w:rsidRPr="00C52E39" w:rsidRDefault="005267B2" w:rsidP="00F30E73">
            <w:pPr>
              <w:pStyle w:val="NormlWeb"/>
              <w:spacing w:before="0" w:beforeAutospacing="0" w:after="0" w:afterAutospacing="0" w:line="276" w:lineRule="auto"/>
              <w:rPr>
                <w:highlight w:val="lightGray"/>
              </w:rPr>
            </w:pPr>
            <w:r w:rsidRPr="00294D92">
              <w:t>Művészeti menedzsment-ismeretek</w:t>
            </w:r>
          </w:p>
        </w:tc>
        <w:tc>
          <w:tcPr>
            <w:tcW w:w="1134" w:type="dxa"/>
          </w:tcPr>
          <w:p w:rsidR="005267B2" w:rsidRPr="00294D92" w:rsidRDefault="005267B2" w:rsidP="00F30E73">
            <w:pPr>
              <w:pStyle w:val="NormlWeb"/>
              <w:spacing w:before="0" w:beforeAutospacing="0" w:after="0" w:afterAutospacing="0" w:line="276" w:lineRule="auto"/>
              <w:jc w:val="center"/>
            </w:pPr>
            <w:r w:rsidRPr="00294D92">
              <w:t>2</w:t>
            </w:r>
          </w:p>
        </w:tc>
        <w:tc>
          <w:tcPr>
            <w:tcW w:w="1560" w:type="dxa"/>
          </w:tcPr>
          <w:p w:rsidR="005267B2" w:rsidRPr="00294D92" w:rsidRDefault="005267B2" w:rsidP="00F30E73">
            <w:pPr>
              <w:pStyle w:val="NormlWeb"/>
              <w:spacing w:before="0" w:beforeAutospacing="0" w:after="0" w:afterAutospacing="0" w:line="276" w:lineRule="auto"/>
              <w:jc w:val="center"/>
            </w:pPr>
            <w:r>
              <w:t>tömbösítve, félévente 15</w:t>
            </w:r>
          </w:p>
        </w:tc>
        <w:tc>
          <w:tcPr>
            <w:tcW w:w="1275" w:type="dxa"/>
          </w:tcPr>
          <w:p w:rsidR="005267B2" w:rsidRPr="00294D92" w:rsidRDefault="005267B2" w:rsidP="00F30E73">
            <w:pPr>
              <w:pStyle w:val="NormlWeb"/>
              <w:spacing w:before="0" w:beforeAutospacing="0" w:after="0" w:afterAutospacing="0" w:line="276" w:lineRule="auto"/>
              <w:jc w:val="center"/>
            </w:pPr>
            <w:r w:rsidRPr="00294D92">
              <w:t>6</w:t>
            </w:r>
          </w:p>
        </w:tc>
        <w:tc>
          <w:tcPr>
            <w:tcW w:w="2376" w:type="dxa"/>
          </w:tcPr>
          <w:p w:rsidR="005267B2" w:rsidRDefault="005267B2" w:rsidP="00F30E73">
            <w:pPr>
              <w:pStyle w:val="NormlWeb"/>
              <w:spacing w:before="0" w:beforeAutospacing="0" w:after="0" w:afterAutospacing="0" w:line="276" w:lineRule="auto"/>
            </w:pPr>
            <w:r w:rsidRPr="001B263E">
              <w:t>gyakorlati jegy</w:t>
            </w:r>
          </w:p>
          <w:p w:rsidR="005267B2" w:rsidRPr="00C52E39" w:rsidRDefault="005267B2" w:rsidP="00F30E73">
            <w:pPr>
              <w:pStyle w:val="NormlWeb"/>
              <w:spacing w:before="0" w:beforeAutospacing="0" w:after="0" w:afterAutospacing="0" w:line="276" w:lineRule="auto"/>
              <w:rPr>
                <w:highlight w:val="lightGray"/>
              </w:rPr>
            </w:pPr>
            <w:r>
              <w:t>(</w:t>
            </w:r>
            <w:r w:rsidRPr="001B263E">
              <w:t>háromfokozatú</w:t>
            </w:r>
            <w:r>
              <w:t>)</w:t>
            </w:r>
          </w:p>
        </w:tc>
      </w:tr>
      <w:tr w:rsidR="005267B2" w:rsidTr="00F30E73">
        <w:tc>
          <w:tcPr>
            <w:tcW w:w="5637" w:type="dxa"/>
            <w:gridSpan w:val="3"/>
            <w:tcBorders>
              <w:bottom w:val="double" w:sz="4" w:space="0" w:color="auto"/>
            </w:tcBorders>
          </w:tcPr>
          <w:p w:rsidR="005267B2" w:rsidRDefault="005267B2" w:rsidP="00F30E73">
            <w:pPr>
              <w:pStyle w:val="NormlWeb"/>
              <w:spacing w:before="0" w:beforeAutospacing="0" w:after="0" w:afterAutospacing="0" w:line="276" w:lineRule="auto"/>
            </w:pPr>
            <w:r>
              <w:t>Diplomahangverseny</w:t>
            </w:r>
          </w:p>
        </w:tc>
        <w:tc>
          <w:tcPr>
            <w:tcW w:w="1275" w:type="dxa"/>
            <w:tcBorders>
              <w:bottom w:val="double" w:sz="4" w:space="0" w:color="auto"/>
            </w:tcBorders>
          </w:tcPr>
          <w:p w:rsidR="005267B2" w:rsidRDefault="005267B2" w:rsidP="00F30E73">
            <w:pPr>
              <w:pStyle w:val="NormlWeb"/>
              <w:spacing w:before="0" w:beforeAutospacing="0" w:after="0" w:afterAutospacing="0" w:line="276" w:lineRule="auto"/>
              <w:jc w:val="center"/>
            </w:pPr>
            <w:r>
              <w:t>10</w:t>
            </w:r>
          </w:p>
        </w:tc>
        <w:tc>
          <w:tcPr>
            <w:tcW w:w="2376" w:type="dxa"/>
            <w:tcBorders>
              <w:bottom w:val="double" w:sz="4" w:space="0" w:color="auto"/>
            </w:tcBorders>
          </w:tcPr>
          <w:p w:rsidR="005267B2" w:rsidRDefault="005267B2" w:rsidP="00F30E73">
            <w:pPr>
              <w:pStyle w:val="NormlWeb"/>
              <w:spacing w:before="0" w:beforeAutospacing="0" w:after="0" w:afterAutospacing="0" w:line="276" w:lineRule="auto"/>
            </w:pPr>
            <w:r>
              <w:t>vizsga (ötfokozatú érdemjegy)</w:t>
            </w:r>
          </w:p>
        </w:tc>
      </w:tr>
      <w:tr w:rsidR="005267B2" w:rsidTr="00F30E73">
        <w:tc>
          <w:tcPr>
            <w:tcW w:w="5637" w:type="dxa"/>
            <w:gridSpan w:val="3"/>
            <w:tcBorders>
              <w:top w:val="double" w:sz="4" w:space="0" w:color="auto"/>
            </w:tcBorders>
          </w:tcPr>
          <w:p w:rsidR="005267B2" w:rsidRPr="00C52E39" w:rsidRDefault="005267B2" w:rsidP="00F30E73">
            <w:pPr>
              <w:pStyle w:val="NormlWeb"/>
              <w:spacing w:before="0" w:beforeAutospacing="0" w:after="0" w:afterAutospacing="0" w:line="276" w:lineRule="auto"/>
              <w:rPr>
                <w:b/>
              </w:rPr>
            </w:pPr>
            <w:r w:rsidRPr="00C52E39">
              <w:rPr>
                <w:b/>
              </w:rPr>
              <w:t>ÖSSZESEN:</w:t>
            </w:r>
          </w:p>
        </w:tc>
        <w:tc>
          <w:tcPr>
            <w:tcW w:w="1275" w:type="dxa"/>
            <w:tcBorders>
              <w:top w:val="double" w:sz="4" w:space="0" w:color="auto"/>
            </w:tcBorders>
          </w:tcPr>
          <w:p w:rsidR="005267B2" w:rsidRPr="00C52E39" w:rsidRDefault="005267B2" w:rsidP="00F30E73">
            <w:pPr>
              <w:pStyle w:val="NormlWeb"/>
              <w:spacing w:before="0" w:beforeAutospacing="0" w:after="0" w:afterAutospacing="0" w:line="276" w:lineRule="auto"/>
              <w:jc w:val="center"/>
              <w:rPr>
                <w:b/>
              </w:rPr>
            </w:pPr>
            <w:r w:rsidRPr="00C52E39">
              <w:rPr>
                <w:b/>
              </w:rPr>
              <w:t>60</w:t>
            </w:r>
          </w:p>
        </w:tc>
        <w:tc>
          <w:tcPr>
            <w:tcW w:w="2376" w:type="dxa"/>
            <w:tcBorders>
              <w:top w:val="double" w:sz="4" w:space="0" w:color="auto"/>
            </w:tcBorders>
          </w:tcPr>
          <w:p w:rsidR="005267B2" w:rsidRDefault="005267B2" w:rsidP="00F30E73">
            <w:pPr>
              <w:pStyle w:val="NormlWeb"/>
              <w:spacing w:before="0" w:beforeAutospacing="0" w:after="0" w:afterAutospacing="0" w:line="276" w:lineRule="auto"/>
              <w:jc w:val="both"/>
            </w:pPr>
          </w:p>
        </w:tc>
      </w:tr>
    </w:tbl>
    <w:p w:rsidR="005267B2" w:rsidRDefault="005267B2" w:rsidP="005267B2">
      <w:pPr>
        <w:pStyle w:val="NormlWeb"/>
        <w:spacing w:before="0" w:beforeAutospacing="0" w:after="0" w:afterAutospacing="0" w:line="276" w:lineRule="auto"/>
        <w:jc w:val="both"/>
      </w:pPr>
    </w:p>
    <w:p w:rsidR="005267B2" w:rsidRDefault="005267B2" w:rsidP="005267B2">
      <w:pPr>
        <w:pStyle w:val="NormlWeb"/>
        <w:spacing w:before="0" w:beforeAutospacing="0" w:after="0" w:afterAutospacing="0" w:line="276" w:lineRule="auto"/>
        <w:jc w:val="both"/>
      </w:pPr>
    </w:p>
    <w:p w:rsidR="005267B2" w:rsidRPr="00D144E8" w:rsidRDefault="005267B2" w:rsidP="005267B2">
      <w:pPr>
        <w:rPr>
          <w:i/>
        </w:rPr>
      </w:pPr>
      <w:r w:rsidRPr="00D144E8">
        <w:rPr>
          <w:i/>
        </w:rPr>
        <w:t>B) TANTÁRGYI PROGRAMOK</w:t>
      </w:r>
    </w:p>
    <w:p w:rsidR="005267B2" w:rsidRDefault="005267B2" w:rsidP="005267B2">
      <w:pPr>
        <w:pStyle w:val="NormlWeb"/>
        <w:spacing w:before="0" w:beforeAutospacing="0" w:after="240" w:afterAutospacing="0" w:line="276" w:lineRule="auto"/>
        <w:jc w:val="both"/>
        <w:rPr>
          <w:b/>
        </w:rPr>
      </w:pPr>
      <w:r w:rsidRPr="00F81332">
        <w:rPr>
          <w:b/>
        </w:rPr>
        <w:t>ZONGORA FŐTÁRGY</w:t>
      </w:r>
    </w:p>
    <w:p w:rsidR="005267B2" w:rsidRPr="00F81332" w:rsidRDefault="005267B2" w:rsidP="005267B2">
      <w:pPr>
        <w:pStyle w:val="NormlWeb"/>
        <w:spacing w:before="0" w:beforeAutospacing="0" w:after="0" w:afterAutospacing="0" w:line="276" w:lineRule="auto"/>
        <w:jc w:val="both"/>
      </w:pPr>
      <w:r w:rsidRPr="00F81332">
        <w:t xml:space="preserve">félévek száma: </w:t>
      </w:r>
      <w:r>
        <w:t>2</w:t>
      </w:r>
    </w:p>
    <w:p w:rsidR="005267B2" w:rsidRDefault="005267B2" w:rsidP="005267B2">
      <w:pPr>
        <w:pStyle w:val="NormlWeb"/>
        <w:spacing w:before="0" w:beforeAutospacing="0" w:after="0" w:afterAutospacing="0" w:line="276" w:lineRule="auto"/>
        <w:jc w:val="both"/>
      </w:pPr>
      <w:r>
        <w:t>heti óraszám: 2</w:t>
      </w:r>
    </w:p>
    <w:p w:rsidR="005267B2" w:rsidRDefault="005267B2" w:rsidP="005267B2">
      <w:pPr>
        <w:pStyle w:val="NormlWeb"/>
        <w:spacing w:before="0" w:beforeAutospacing="0" w:after="0" w:afterAutospacing="0" w:line="276" w:lineRule="auto"/>
        <w:jc w:val="both"/>
      </w:pPr>
      <w:r>
        <w:t>megszerzendő kredit: 26 kredit (12 kredit/félév)</w:t>
      </w:r>
    </w:p>
    <w:p w:rsidR="005267B2" w:rsidRDefault="005267B2" w:rsidP="005267B2">
      <w:pPr>
        <w:pStyle w:val="NormlWeb"/>
        <w:spacing w:before="0" w:beforeAutospacing="0" w:after="0" w:afterAutospacing="0" w:line="276" w:lineRule="auto"/>
        <w:jc w:val="both"/>
      </w:pPr>
    </w:p>
    <w:p w:rsidR="005267B2" w:rsidRPr="00806C26" w:rsidRDefault="005267B2" w:rsidP="005267B2">
      <w:pPr>
        <w:pStyle w:val="NormlWeb"/>
        <w:spacing w:before="0" w:beforeAutospacing="0" w:after="0" w:afterAutospacing="0" w:line="276" w:lineRule="auto"/>
        <w:jc w:val="both"/>
        <w:rPr>
          <w:b/>
        </w:rPr>
      </w:pPr>
      <w:r w:rsidRPr="00806C26">
        <w:rPr>
          <w:b/>
        </w:rPr>
        <w:t xml:space="preserve">A tantárgy tartalma: </w:t>
      </w:r>
    </w:p>
    <w:p w:rsidR="005267B2" w:rsidRPr="00471CF4" w:rsidRDefault="005267B2" w:rsidP="005267B2">
      <w:pPr>
        <w:pStyle w:val="NormlWeb"/>
        <w:spacing w:before="0" w:beforeAutospacing="0" w:after="0" w:afterAutospacing="0" w:line="276" w:lineRule="auto"/>
        <w:jc w:val="both"/>
      </w:pPr>
      <w:r>
        <w:t>A zongora szóló- és versenymű-repertoár azon művei kerülnek beható és átfogó elemzésre és elsajátításra, melyek különösen nagy kihívást támasztanak az előadóval szemben, mind technikai felkészültség, mind interpretációs készség, mind pedig koncentrációs képességek tekintetében. Az ajánlott tanmenetbe került művek kiválasztásánál elsődleges szempont volt széles színpadkész repertoár elsajátítása azon művekből, amelyek a legkeresettebbek a világ hangversenytermeiben és hangversenyszervezői irodáiban.</w:t>
      </w:r>
    </w:p>
    <w:p w:rsidR="005267B2" w:rsidRDefault="005267B2" w:rsidP="005267B2">
      <w:pPr>
        <w:pStyle w:val="NormlWeb"/>
        <w:spacing w:before="0" w:beforeAutospacing="0" w:after="0" w:afterAutospacing="0" w:line="276" w:lineRule="auto"/>
        <w:jc w:val="both"/>
        <w:rPr>
          <w:color w:val="FF0000"/>
        </w:rPr>
      </w:pPr>
    </w:p>
    <w:p w:rsidR="005267B2" w:rsidRPr="008227CD" w:rsidRDefault="005267B2" w:rsidP="005267B2">
      <w:pPr>
        <w:pStyle w:val="NormlWeb"/>
        <w:spacing w:before="0" w:beforeAutospacing="0" w:after="120" w:afterAutospacing="0" w:line="276" w:lineRule="auto"/>
        <w:jc w:val="both"/>
      </w:pPr>
      <w:r w:rsidRPr="008227CD">
        <w:t>Elsajátítandó tananyag:</w:t>
      </w:r>
    </w:p>
    <w:p w:rsidR="005267B2" w:rsidRPr="009579B5" w:rsidRDefault="005267B2" w:rsidP="005267B2">
      <w:pPr>
        <w:pStyle w:val="NormlWeb"/>
        <w:spacing w:before="0" w:beforeAutospacing="0" w:after="0" w:afterAutospacing="0" w:line="276" w:lineRule="auto"/>
      </w:pPr>
      <w:r>
        <w:t>– 2 Beethoven-</w:t>
      </w:r>
      <w:r w:rsidRPr="009579B5">
        <w:t>zongoraverseny</w:t>
      </w:r>
      <w:r>
        <w:t>;</w:t>
      </w:r>
    </w:p>
    <w:p w:rsidR="005267B2" w:rsidRPr="009579B5" w:rsidRDefault="005267B2" w:rsidP="005267B2">
      <w:pPr>
        <w:pStyle w:val="NormlWeb"/>
        <w:spacing w:before="0" w:beforeAutospacing="0" w:after="0" w:afterAutospacing="0" w:line="276" w:lineRule="auto"/>
      </w:pPr>
      <w:r>
        <w:lastRenderedPageBreak/>
        <w:t xml:space="preserve">– </w:t>
      </w:r>
      <w:r w:rsidRPr="009579B5">
        <w:t>3 romantikus zongoraverseny (min. 20 perces)</w:t>
      </w:r>
      <w:r>
        <w:t>;</w:t>
      </w:r>
    </w:p>
    <w:p w:rsidR="005267B2" w:rsidRPr="009579B5" w:rsidRDefault="005267B2" w:rsidP="005267B2">
      <w:pPr>
        <w:pStyle w:val="NormlWeb"/>
        <w:spacing w:before="0" w:beforeAutospacing="0" w:after="0" w:afterAutospacing="0" w:line="276" w:lineRule="auto"/>
      </w:pPr>
      <w:r>
        <w:t xml:space="preserve">– </w:t>
      </w:r>
      <w:r w:rsidRPr="009579B5">
        <w:t>2 XX.</w:t>
      </w:r>
      <w:r>
        <w:t xml:space="preserve"> századi </w:t>
      </w:r>
      <w:r w:rsidRPr="009579B5">
        <w:t>zongoraverseny, ebből az egyik Bartók valamelyik zongoraversenye</w:t>
      </w:r>
      <w:r>
        <w:t>;</w:t>
      </w:r>
    </w:p>
    <w:p w:rsidR="005267B2" w:rsidRPr="009579B5" w:rsidRDefault="005267B2" w:rsidP="005267B2">
      <w:pPr>
        <w:pStyle w:val="NormlWeb"/>
        <w:spacing w:before="0" w:beforeAutospacing="0" w:after="0" w:afterAutospacing="0" w:line="276" w:lineRule="auto"/>
      </w:pPr>
      <w:r>
        <w:t>– 3 Beethoven-</w:t>
      </w:r>
      <w:r w:rsidRPr="009579B5">
        <w:t>zongoraszonáta</w:t>
      </w:r>
      <w:r>
        <w:t>;</w:t>
      </w:r>
    </w:p>
    <w:p w:rsidR="005267B2" w:rsidRPr="009579B5" w:rsidRDefault="005267B2" w:rsidP="005267B2">
      <w:pPr>
        <w:pStyle w:val="NormlWeb"/>
        <w:spacing w:before="0" w:beforeAutospacing="0" w:after="0" w:afterAutospacing="0" w:line="276" w:lineRule="auto"/>
      </w:pPr>
      <w:r>
        <w:t xml:space="preserve">– 4 nagy </w:t>
      </w:r>
      <w:r w:rsidRPr="009579B5">
        <w:t>romantikus ciklikus zongoramű (ebből egy Liszt)</w:t>
      </w:r>
      <w:r>
        <w:t>;</w:t>
      </w:r>
    </w:p>
    <w:p w:rsidR="005267B2" w:rsidRPr="009579B5" w:rsidRDefault="005267B2" w:rsidP="005267B2">
      <w:pPr>
        <w:pStyle w:val="NormlWeb"/>
        <w:spacing w:before="0" w:beforeAutospacing="0" w:after="0" w:afterAutospacing="0" w:line="276" w:lineRule="auto"/>
      </w:pPr>
      <w:r>
        <w:t xml:space="preserve">– </w:t>
      </w:r>
      <w:r w:rsidRPr="009579B5">
        <w:t>3 nagy XX.</w:t>
      </w:r>
      <w:r>
        <w:t xml:space="preserve"> századi</w:t>
      </w:r>
      <w:r w:rsidRPr="009579B5">
        <w:t xml:space="preserve"> ciklikus zongoramű (ebből az egyik Bartók)</w:t>
      </w:r>
      <w:r>
        <w:t>.</w:t>
      </w:r>
    </w:p>
    <w:p w:rsidR="005267B2" w:rsidRPr="009579B5" w:rsidRDefault="005267B2" w:rsidP="005267B2">
      <w:pPr>
        <w:pStyle w:val="NormlWeb"/>
        <w:tabs>
          <w:tab w:val="num" w:pos="426"/>
        </w:tabs>
        <w:spacing w:before="0" w:beforeAutospacing="0" w:after="0" w:afterAutospacing="0" w:line="276" w:lineRule="auto"/>
        <w:ind w:hanging="1440"/>
      </w:pPr>
    </w:p>
    <w:p w:rsidR="005267B2" w:rsidRDefault="005267B2" w:rsidP="005267B2">
      <w:pPr>
        <w:pStyle w:val="NormlWeb"/>
        <w:spacing w:before="0" w:beforeAutospacing="0" w:after="0" w:afterAutospacing="0" w:line="276" w:lineRule="auto"/>
        <w:jc w:val="both"/>
        <w:rPr>
          <w:b/>
        </w:rPr>
      </w:pPr>
    </w:p>
    <w:p w:rsidR="005267B2" w:rsidRDefault="005267B2" w:rsidP="005267B2">
      <w:pPr>
        <w:pStyle w:val="NormlWeb"/>
        <w:spacing w:before="0" w:beforeAutospacing="0" w:after="240" w:afterAutospacing="0" w:line="276" w:lineRule="auto"/>
        <w:jc w:val="both"/>
        <w:rPr>
          <w:b/>
        </w:rPr>
      </w:pPr>
      <w:r>
        <w:rPr>
          <w:b/>
        </w:rPr>
        <w:t>KAMARAZENE</w:t>
      </w:r>
    </w:p>
    <w:p w:rsidR="005267B2" w:rsidRPr="00F81332" w:rsidRDefault="005267B2" w:rsidP="005267B2">
      <w:pPr>
        <w:pStyle w:val="NormlWeb"/>
        <w:spacing w:before="0" w:beforeAutospacing="0" w:after="0" w:afterAutospacing="0" w:line="276" w:lineRule="auto"/>
        <w:jc w:val="both"/>
      </w:pPr>
      <w:r w:rsidRPr="00F81332">
        <w:t xml:space="preserve">félévek száma: </w:t>
      </w:r>
      <w:r>
        <w:t>2</w:t>
      </w:r>
    </w:p>
    <w:p w:rsidR="005267B2" w:rsidRDefault="005267B2" w:rsidP="005267B2">
      <w:pPr>
        <w:pStyle w:val="NormlWeb"/>
        <w:spacing w:before="0" w:beforeAutospacing="0" w:after="0" w:afterAutospacing="0" w:line="276" w:lineRule="auto"/>
        <w:jc w:val="both"/>
      </w:pPr>
      <w:r>
        <w:t>heti óraszám: 1</w:t>
      </w:r>
    </w:p>
    <w:p w:rsidR="005267B2" w:rsidRDefault="005267B2" w:rsidP="005267B2">
      <w:pPr>
        <w:pStyle w:val="NormlWeb"/>
        <w:spacing w:before="0" w:beforeAutospacing="0" w:after="0" w:afterAutospacing="0" w:line="276" w:lineRule="auto"/>
        <w:jc w:val="both"/>
      </w:pPr>
      <w:r>
        <w:t>megszerzendő kredit: 10 kredit (5 kredit/félév)</w:t>
      </w:r>
    </w:p>
    <w:p w:rsidR="005267B2" w:rsidRDefault="005267B2" w:rsidP="005267B2">
      <w:pPr>
        <w:pStyle w:val="NormlWeb"/>
        <w:spacing w:before="0" w:beforeAutospacing="0" w:after="0" w:afterAutospacing="0" w:line="276" w:lineRule="auto"/>
        <w:jc w:val="both"/>
      </w:pPr>
    </w:p>
    <w:p w:rsidR="005267B2" w:rsidRPr="008C692A" w:rsidRDefault="005267B2" w:rsidP="005267B2">
      <w:pPr>
        <w:pStyle w:val="NormlWeb"/>
        <w:spacing w:before="0" w:beforeAutospacing="0" w:after="0" w:afterAutospacing="0" w:line="276" w:lineRule="auto"/>
        <w:jc w:val="both"/>
        <w:rPr>
          <w:b/>
        </w:rPr>
      </w:pPr>
      <w:r w:rsidRPr="008C692A">
        <w:rPr>
          <w:b/>
        </w:rPr>
        <w:t xml:space="preserve">A tantárgy tartalma: </w:t>
      </w:r>
    </w:p>
    <w:p w:rsidR="005267B2" w:rsidRDefault="005267B2" w:rsidP="005267B2">
      <w:pPr>
        <w:pStyle w:val="NormlWeb"/>
        <w:spacing w:before="0" w:beforeAutospacing="0" w:after="120" w:afterAutospacing="0"/>
        <w:jc w:val="both"/>
      </w:pPr>
      <w:r>
        <w:t xml:space="preserve">A zongorára írt irodalom jelentős részét képezi a különböző összeállítású kamarazene-repertoár. Ezekben a művekben a zongora szólama egyenrangú az adott partner/ek szólamával, azaz a szóló-repertoár szerves része. Ugyanakkor a kamarazenélés önfegyelemre, alkalmazkodásra, a párbeszéd képességére is nevel. </w:t>
      </w:r>
    </w:p>
    <w:p w:rsidR="005267B2" w:rsidRDefault="005267B2" w:rsidP="005267B2">
      <w:pPr>
        <w:pStyle w:val="NormlWeb"/>
        <w:spacing w:after="0"/>
        <w:jc w:val="both"/>
      </w:pPr>
      <w:r>
        <w:t>A megtanulandó darabok kiválasztásának szempontjai megegyeznek a szólódarabok kiválasztásának szempontjaival.</w:t>
      </w:r>
    </w:p>
    <w:p w:rsidR="005267B2" w:rsidRDefault="005267B2" w:rsidP="005267B2">
      <w:pPr>
        <w:pStyle w:val="NormlWeb"/>
        <w:spacing w:after="0"/>
        <w:jc w:val="both"/>
      </w:pPr>
      <w:r>
        <w:t>Elsajátítandó darabok:</w:t>
      </w:r>
    </w:p>
    <w:p w:rsidR="005267B2" w:rsidRDefault="005267B2" w:rsidP="005267B2">
      <w:pPr>
        <w:pStyle w:val="NormlWeb"/>
        <w:spacing w:before="0" w:beforeAutospacing="0" w:after="0" w:afterAutospacing="0"/>
        <w:ind w:left="426" w:hanging="426"/>
        <w:jc w:val="both"/>
      </w:pPr>
      <w:r>
        <w:t>– 1 Haydn-trió;</w:t>
      </w:r>
    </w:p>
    <w:p w:rsidR="005267B2" w:rsidRPr="009579B5" w:rsidRDefault="005267B2" w:rsidP="005267B2">
      <w:pPr>
        <w:pStyle w:val="NormlWeb"/>
        <w:spacing w:before="0" w:beforeAutospacing="0" w:after="0" w:afterAutospacing="0"/>
        <w:ind w:left="426" w:hanging="426"/>
        <w:jc w:val="both"/>
      </w:pPr>
      <w:r>
        <w:t>– 1 Beethoven hegedű-zongora vagy cselló-zongora szonáta;</w:t>
      </w:r>
    </w:p>
    <w:p w:rsidR="005267B2" w:rsidRPr="009579B5" w:rsidRDefault="005267B2" w:rsidP="005267B2">
      <w:pPr>
        <w:pStyle w:val="NormlWeb"/>
        <w:spacing w:before="0" w:beforeAutospacing="0" w:after="0" w:afterAutospacing="0"/>
        <w:ind w:left="426" w:hanging="426"/>
        <w:jc w:val="both"/>
      </w:pPr>
      <w:r>
        <w:t xml:space="preserve">– </w:t>
      </w:r>
      <w:r w:rsidRPr="009579B5">
        <w:t xml:space="preserve">dalkíséret </w:t>
      </w:r>
      <w:r w:rsidRPr="00471CF4">
        <w:t>(min. 30 perc):</w:t>
      </w:r>
      <w:r w:rsidRPr="009579B5">
        <w:t xml:space="preserve"> ezen belül kiemelten fontos Schubert, Schumann, Brahms dalműveinek kísérete</w:t>
      </w:r>
      <w:r>
        <w:t>;</w:t>
      </w:r>
    </w:p>
    <w:p w:rsidR="005267B2" w:rsidRDefault="005267B2" w:rsidP="005267B2">
      <w:pPr>
        <w:pStyle w:val="NormlWeb"/>
        <w:spacing w:before="0" w:beforeAutospacing="0" w:after="0" w:afterAutospacing="0"/>
        <w:ind w:left="426" w:hanging="426"/>
        <w:jc w:val="both"/>
      </w:pPr>
      <w:r>
        <w:t xml:space="preserve">– </w:t>
      </w:r>
      <w:r w:rsidRPr="009579B5">
        <w:t xml:space="preserve">1 XIX. </w:t>
      </w:r>
      <w:r>
        <w:t>századi nagy</w:t>
      </w:r>
      <w:r w:rsidRPr="009579B5">
        <w:t>romantikus vagy XX.</w:t>
      </w:r>
      <w:r>
        <w:t xml:space="preserve"> századi</w:t>
      </w:r>
      <w:r w:rsidRPr="009579B5">
        <w:t xml:space="preserve"> zongorás kvintett</w:t>
      </w:r>
      <w:r>
        <w:t>.</w:t>
      </w:r>
    </w:p>
    <w:p w:rsidR="005267B2" w:rsidRDefault="005267B2" w:rsidP="005267B2">
      <w:pPr>
        <w:pStyle w:val="NormlWeb"/>
        <w:spacing w:before="0" w:beforeAutospacing="0" w:after="240" w:afterAutospacing="0" w:line="276" w:lineRule="auto"/>
        <w:jc w:val="both"/>
        <w:rPr>
          <w:b/>
        </w:rPr>
      </w:pPr>
    </w:p>
    <w:p w:rsidR="005267B2" w:rsidRPr="009579B5" w:rsidRDefault="005267B2" w:rsidP="005267B2">
      <w:pPr>
        <w:pStyle w:val="NormlWeb"/>
        <w:spacing w:before="0" w:beforeAutospacing="0" w:after="240" w:afterAutospacing="0" w:line="276" w:lineRule="auto"/>
        <w:jc w:val="both"/>
        <w:rPr>
          <w:b/>
        </w:rPr>
      </w:pPr>
      <w:r w:rsidRPr="009579B5">
        <w:rPr>
          <w:b/>
        </w:rPr>
        <w:t>ZENEKARI PRÓBAFOLYAMAT/ZENEKARI HOSPITÁLÁS</w:t>
      </w:r>
    </w:p>
    <w:p w:rsidR="005267B2" w:rsidRPr="00F81332" w:rsidRDefault="005267B2" w:rsidP="005267B2">
      <w:pPr>
        <w:pStyle w:val="NormlWeb"/>
        <w:spacing w:before="0" w:beforeAutospacing="0" w:after="0" w:afterAutospacing="0" w:line="276" w:lineRule="auto"/>
        <w:jc w:val="both"/>
      </w:pPr>
      <w:r w:rsidRPr="00F81332">
        <w:t xml:space="preserve">félévek száma: </w:t>
      </w:r>
      <w:r>
        <w:t>2</w:t>
      </w:r>
    </w:p>
    <w:p w:rsidR="005267B2" w:rsidRDefault="005267B2" w:rsidP="005267B2">
      <w:pPr>
        <w:pStyle w:val="NormlWeb"/>
        <w:spacing w:before="0" w:beforeAutospacing="0" w:after="0" w:afterAutospacing="0" w:line="276" w:lineRule="auto"/>
        <w:jc w:val="both"/>
      </w:pPr>
      <w:r w:rsidRPr="00D144E8">
        <w:t>heti óraszám:</w:t>
      </w:r>
      <w:r>
        <w:t xml:space="preserve"> tömbösítve, félévente legalább 15 óra</w:t>
      </w:r>
    </w:p>
    <w:p w:rsidR="005267B2" w:rsidRDefault="005267B2" w:rsidP="005267B2">
      <w:pPr>
        <w:pStyle w:val="NormlWeb"/>
        <w:spacing w:before="0" w:beforeAutospacing="0" w:after="0" w:afterAutospacing="0" w:line="276" w:lineRule="auto"/>
        <w:jc w:val="both"/>
      </w:pPr>
      <w:r>
        <w:t>megszerzendő kredit: 8 kredit (4 kredit/félév)</w:t>
      </w:r>
    </w:p>
    <w:p w:rsidR="005267B2" w:rsidRDefault="005267B2" w:rsidP="005267B2">
      <w:pPr>
        <w:pStyle w:val="NormlWeb"/>
        <w:spacing w:before="0" w:beforeAutospacing="0" w:after="0" w:afterAutospacing="0" w:line="276" w:lineRule="auto"/>
        <w:jc w:val="both"/>
      </w:pPr>
    </w:p>
    <w:p w:rsidR="005267B2" w:rsidRPr="008227CD" w:rsidRDefault="005267B2" w:rsidP="005267B2">
      <w:pPr>
        <w:pStyle w:val="NormlWeb"/>
        <w:spacing w:before="0" w:beforeAutospacing="0" w:after="0" w:afterAutospacing="0" w:line="276" w:lineRule="auto"/>
        <w:jc w:val="both"/>
        <w:rPr>
          <w:b/>
        </w:rPr>
      </w:pPr>
      <w:r w:rsidRPr="008227CD">
        <w:rPr>
          <w:b/>
        </w:rPr>
        <w:t xml:space="preserve">A tantárgy tartalma: </w:t>
      </w:r>
    </w:p>
    <w:p w:rsidR="005267B2" w:rsidRPr="008227CD" w:rsidRDefault="005267B2" w:rsidP="005267B2">
      <w:pPr>
        <w:pStyle w:val="NormlWeb"/>
        <w:spacing w:before="0" w:beforeAutospacing="0" w:after="0" w:afterAutospacing="0" w:line="276" w:lineRule="auto"/>
        <w:jc w:val="both"/>
      </w:pPr>
      <w:r w:rsidRPr="008227CD">
        <w:t xml:space="preserve">A tantárgy </w:t>
      </w:r>
      <w:r>
        <w:t>célja, hogy a hallgatók közvetlen közelből figyeljék meg a hivatásos zenekarok munkáját versenymű előadására történő felkészülés során. A zenekari próbákon való jelenlét mellett a hallgatóknak lehetőségük nyílik aktívan, szólistaként is részt venni egy-egy zenekari próbán, valamint a próbafolyamathoz kapcsolódóan konzultációra egy-egy karmesterrel, ill. szólistával.</w:t>
      </w:r>
    </w:p>
    <w:p w:rsidR="005267B2" w:rsidRDefault="005267B2" w:rsidP="005267B2">
      <w:pPr>
        <w:pStyle w:val="NormlWeb"/>
        <w:spacing w:before="0" w:beforeAutospacing="0" w:after="0" w:afterAutospacing="0" w:line="276" w:lineRule="auto"/>
        <w:jc w:val="both"/>
      </w:pPr>
    </w:p>
    <w:p w:rsidR="005267B2" w:rsidRDefault="005267B2" w:rsidP="005267B2">
      <w:pPr>
        <w:pStyle w:val="NormlWeb"/>
        <w:spacing w:before="0" w:beforeAutospacing="0" w:after="0" w:afterAutospacing="0" w:line="276" w:lineRule="auto"/>
        <w:jc w:val="both"/>
      </w:pPr>
      <w:r>
        <w:t>A zenekari próbán történő aktív részvétel alkalmával a hallgató a főtárgy tananyagából választott egyik művet próbálja a zenekarral.</w:t>
      </w:r>
    </w:p>
    <w:p w:rsidR="005267B2" w:rsidRDefault="005267B2" w:rsidP="005267B2">
      <w:pPr>
        <w:pStyle w:val="NormlWeb"/>
        <w:spacing w:before="0" w:beforeAutospacing="0" w:after="0" w:afterAutospacing="0" w:line="276" w:lineRule="auto"/>
        <w:jc w:val="both"/>
      </w:pPr>
    </w:p>
    <w:p w:rsidR="005267B2" w:rsidRDefault="005267B2" w:rsidP="005267B2">
      <w:pPr>
        <w:pStyle w:val="NormlWeb"/>
        <w:spacing w:before="0" w:beforeAutospacing="0" w:after="0" w:afterAutospacing="0" w:line="276" w:lineRule="auto"/>
        <w:jc w:val="both"/>
        <w:rPr>
          <w:b/>
        </w:rPr>
      </w:pPr>
    </w:p>
    <w:p w:rsidR="005267B2" w:rsidRDefault="005267B2" w:rsidP="005267B2">
      <w:pPr>
        <w:pStyle w:val="NormlWeb"/>
        <w:spacing w:before="0" w:beforeAutospacing="0" w:after="0" w:afterAutospacing="0" w:line="276" w:lineRule="auto"/>
        <w:jc w:val="both"/>
        <w:rPr>
          <w:b/>
        </w:rPr>
      </w:pPr>
    </w:p>
    <w:p w:rsidR="005267B2" w:rsidRDefault="005267B2" w:rsidP="005267B2">
      <w:pPr>
        <w:pStyle w:val="NormlWeb"/>
        <w:spacing w:before="0" w:beforeAutospacing="0" w:after="0" w:afterAutospacing="0" w:line="276" w:lineRule="auto"/>
        <w:jc w:val="both"/>
        <w:rPr>
          <w:b/>
        </w:rPr>
      </w:pPr>
    </w:p>
    <w:p w:rsidR="005267B2" w:rsidRDefault="005267B2" w:rsidP="005267B2">
      <w:pPr>
        <w:pStyle w:val="NormlWeb"/>
        <w:spacing w:before="0" w:beforeAutospacing="0" w:after="0" w:afterAutospacing="0" w:line="276" w:lineRule="auto"/>
        <w:jc w:val="both"/>
        <w:rPr>
          <w:b/>
        </w:rPr>
      </w:pPr>
    </w:p>
    <w:p w:rsidR="005267B2" w:rsidRPr="009579B5" w:rsidRDefault="005267B2" w:rsidP="005267B2">
      <w:pPr>
        <w:pStyle w:val="NormlWeb"/>
        <w:spacing w:before="0" w:beforeAutospacing="0" w:after="120" w:afterAutospacing="0" w:line="276" w:lineRule="auto"/>
        <w:jc w:val="both"/>
        <w:rPr>
          <w:b/>
        </w:rPr>
      </w:pPr>
      <w:r>
        <w:rPr>
          <w:b/>
        </w:rPr>
        <w:t>MŰVÉSZETI MENEDZSMENT ISMERETEK</w:t>
      </w:r>
    </w:p>
    <w:p w:rsidR="005267B2" w:rsidRPr="00F81332" w:rsidRDefault="005267B2" w:rsidP="005267B2">
      <w:pPr>
        <w:pStyle w:val="NormlWeb"/>
        <w:spacing w:before="0" w:beforeAutospacing="0" w:after="0" w:afterAutospacing="0" w:line="276" w:lineRule="auto"/>
        <w:jc w:val="both"/>
      </w:pPr>
      <w:r w:rsidRPr="00F81332">
        <w:t xml:space="preserve">félévek száma: </w:t>
      </w:r>
      <w:r>
        <w:t>2</w:t>
      </w:r>
    </w:p>
    <w:p w:rsidR="005267B2" w:rsidRDefault="005267B2" w:rsidP="005267B2">
      <w:pPr>
        <w:pStyle w:val="NormlWeb"/>
        <w:spacing w:before="0" w:beforeAutospacing="0" w:after="0" w:afterAutospacing="0" w:line="276" w:lineRule="auto"/>
        <w:jc w:val="both"/>
      </w:pPr>
      <w:r w:rsidRPr="00F34C4F">
        <w:t>heti óraszám:</w:t>
      </w:r>
      <w:r>
        <w:t xml:space="preserve"> tömbösítve, félévente legalább 15 óra</w:t>
      </w:r>
    </w:p>
    <w:p w:rsidR="005267B2" w:rsidRDefault="005267B2" w:rsidP="005267B2">
      <w:pPr>
        <w:pStyle w:val="NormlWeb"/>
        <w:spacing w:before="0" w:beforeAutospacing="0" w:after="0" w:afterAutospacing="0" w:line="276" w:lineRule="auto"/>
        <w:jc w:val="both"/>
      </w:pPr>
      <w:r>
        <w:t>kredit: 6 kredit (3 kredit/félév)</w:t>
      </w:r>
    </w:p>
    <w:p w:rsidR="005267B2" w:rsidRDefault="005267B2" w:rsidP="005267B2">
      <w:pPr>
        <w:pStyle w:val="NormlWeb"/>
        <w:spacing w:before="0" w:beforeAutospacing="0" w:after="0" w:afterAutospacing="0" w:line="276" w:lineRule="auto"/>
        <w:jc w:val="both"/>
      </w:pPr>
    </w:p>
    <w:p w:rsidR="005267B2" w:rsidRDefault="005267B2" w:rsidP="005267B2">
      <w:pPr>
        <w:pStyle w:val="NormlWeb"/>
        <w:spacing w:before="0" w:beforeAutospacing="0" w:after="0" w:afterAutospacing="0" w:line="276" w:lineRule="auto"/>
        <w:jc w:val="both"/>
        <w:rPr>
          <w:b/>
        </w:rPr>
      </w:pPr>
      <w:r w:rsidRPr="008227CD">
        <w:rPr>
          <w:b/>
        </w:rPr>
        <w:t xml:space="preserve">A tantárgy tartalma: </w:t>
      </w:r>
    </w:p>
    <w:p w:rsidR="005267B2" w:rsidRDefault="005267B2" w:rsidP="005267B2">
      <w:pPr>
        <w:pStyle w:val="NormlWeb"/>
        <w:spacing w:before="0" w:beforeAutospacing="0" w:after="0" w:afterAutospacing="0" w:line="276" w:lineRule="auto"/>
        <w:jc w:val="both"/>
      </w:pPr>
      <w:r>
        <w:t>A magas színvonalú előadóművészi teljesítmény mellett is e</w:t>
      </w:r>
      <w:r w:rsidRPr="00883BBA">
        <w:t>lengedhetetlen</w:t>
      </w:r>
      <w:r>
        <w:t>ül szükséges, hogy a hallgatók birtokában legyenek bizonyos művészeti menedzsment ismereteknek. Ezek nélkül ma már szinte elképzelhetetlen komoly művészi karriert befutni. A kurzus során a hallgatók gyakorlati ismeretekre tehetnek szert a következő témakörökben:</w:t>
      </w:r>
    </w:p>
    <w:p w:rsidR="005267B2" w:rsidRDefault="005267B2" w:rsidP="005267B2">
      <w:pPr>
        <w:pStyle w:val="NormlWeb"/>
        <w:spacing w:before="0" w:beforeAutospacing="0" w:after="0" w:afterAutospacing="0" w:line="276" w:lineRule="auto"/>
        <w:jc w:val="both"/>
      </w:pPr>
    </w:p>
    <w:p w:rsidR="005267B2" w:rsidRDefault="005267B2" w:rsidP="005267B2">
      <w:pPr>
        <w:pStyle w:val="NormlWeb"/>
        <w:spacing w:before="0" w:beforeAutospacing="0" w:after="0" w:afterAutospacing="0" w:line="276" w:lineRule="auto"/>
        <w:jc w:val="both"/>
      </w:pPr>
      <w:r>
        <w:t>– színpadi jelenlét;</w:t>
      </w:r>
    </w:p>
    <w:p w:rsidR="005267B2" w:rsidRDefault="005267B2" w:rsidP="005267B2">
      <w:pPr>
        <w:pStyle w:val="NormlWeb"/>
        <w:spacing w:before="0" w:beforeAutospacing="0" w:after="0" w:afterAutospacing="0" w:line="276" w:lineRule="auto"/>
        <w:jc w:val="both"/>
      </w:pPr>
      <w:r>
        <w:t>– TV-, rádió-, lemezfelvételi ismeretek;</w:t>
      </w:r>
    </w:p>
    <w:p w:rsidR="005267B2" w:rsidRDefault="005267B2" w:rsidP="005267B2">
      <w:pPr>
        <w:pStyle w:val="NormlWeb"/>
        <w:spacing w:before="0" w:beforeAutospacing="0" w:after="0" w:afterAutospacing="0" w:line="276" w:lineRule="auto"/>
        <w:jc w:val="both"/>
      </w:pPr>
      <w:r>
        <w:t>– művészi profil elkészítése;</w:t>
      </w:r>
    </w:p>
    <w:p w:rsidR="005267B2" w:rsidRDefault="005267B2" w:rsidP="005267B2">
      <w:pPr>
        <w:pStyle w:val="NormlWeb"/>
        <w:spacing w:before="0" w:beforeAutospacing="0" w:after="0" w:afterAutospacing="0" w:line="276" w:lineRule="auto"/>
        <w:jc w:val="both"/>
      </w:pPr>
      <w:r>
        <w:t>– kapcsolattartás a médiával, interjúk;</w:t>
      </w:r>
    </w:p>
    <w:p w:rsidR="005267B2" w:rsidRPr="00883BBA" w:rsidRDefault="005267B2" w:rsidP="005267B2">
      <w:pPr>
        <w:pStyle w:val="NormlWeb"/>
        <w:spacing w:before="0" w:beforeAutospacing="0" w:after="0" w:afterAutospacing="0" w:line="276" w:lineRule="auto"/>
        <w:jc w:val="both"/>
      </w:pPr>
      <w:r>
        <w:t>– látogatás ügynökségeknél.</w:t>
      </w:r>
    </w:p>
    <w:p w:rsidR="005267B2" w:rsidRDefault="005267B2" w:rsidP="005267B2">
      <w:pPr>
        <w:pStyle w:val="NormlWeb"/>
        <w:spacing w:before="0" w:beforeAutospacing="0" w:after="0" w:afterAutospacing="0" w:line="276" w:lineRule="auto"/>
        <w:jc w:val="both"/>
      </w:pPr>
    </w:p>
    <w:p w:rsidR="005267B2" w:rsidRDefault="005267B2" w:rsidP="005267B2">
      <w:pPr>
        <w:pStyle w:val="NormlWeb"/>
        <w:spacing w:before="0" w:beforeAutospacing="0" w:after="0" w:afterAutospacing="0" w:line="276" w:lineRule="auto"/>
        <w:jc w:val="both"/>
      </w:pPr>
      <w:r>
        <w:t>A kurzusokat ismert médiaszemélyiségek (újságíró, riporter, zenei témájú adások rendezője, színházi-, operaházi rendező), valamint impresszáriók tartják.</w:t>
      </w:r>
    </w:p>
    <w:p w:rsidR="005267B2" w:rsidRDefault="005267B2" w:rsidP="005267B2">
      <w:pPr>
        <w:pStyle w:val="NormlWeb"/>
        <w:spacing w:before="0" w:beforeAutospacing="0" w:after="0" w:afterAutospacing="0" w:line="276" w:lineRule="auto"/>
        <w:jc w:val="both"/>
      </w:pPr>
    </w:p>
    <w:p w:rsidR="005267B2" w:rsidRDefault="005267B2" w:rsidP="005267B2">
      <w:pPr>
        <w:pStyle w:val="NormlWeb"/>
        <w:spacing w:before="0" w:beforeAutospacing="0" w:after="0" w:afterAutospacing="0" w:line="276" w:lineRule="auto"/>
        <w:jc w:val="both"/>
      </w:pPr>
    </w:p>
    <w:p w:rsidR="005267B2" w:rsidRDefault="005267B2" w:rsidP="005267B2">
      <w:pPr>
        <w:pStyle w:val="NormlWeb"/>
        <w:spacing w:before="0" w:beforeAutospacing="0" w:after="0" w:afterAutospacing="0" w:line="276" w:lineRule="auto"/>
        <w:jc w:val="both"/>
      </w:pPr>
    </w:p>
    <w:p w:rsidR="005267B2" w:rsidRDefault="005267B2" w:rsidP="005267B2">
      <w:pPr>
        <w:pStyle w:val="NormlWeb"/>
        <w:spacing w:before="0" w:beforeAutospacing="0" w:after="0" w:afterAutospacing="0" w:line="276" w:lineRule="auto"/>
        <w:jc w:val="both"/>
      </w:pPr>
    </w:p>
    <w:p w:rsidR="005267B2" w:rsidRDefault="005267B2" w:rsidP="005267B2">
      <w:pPr>
        <w:pStyle w:val="NormlWeb"/>
        <w:spacing w:before="0" w:beforeAutospacing="0" w:after="0" w:afterAutospacing="0" w:line="276" w:lineRule="auto"/>
        <w:jc w:val="both"/>
      </w:pPr>
    </w:p>
    <w:p w:rsidR="005267B2" w:rsidRDefault="005267B2" w:rsidP="005267B2">
      <w:pPr>
        <w:pStyle w:val="NormlWeb"/>
        <w:spacing w:before="0" w:beforeAutospacing="0" w:after="0" w:afterAutospacing="0" w:line="276" w:lineRule="auto"/>
        <w:jc w:val="both"/>
      </w:pPr>
    </w:p>
    <w:p w:rsidR="005267B2" w:rsidRDefault="005267B2" w:rsidP="005267B2">
      <w:pPr>
        <w:pStyle w:val="NormlWeb"/>
        <w:spacing w:before="0" w:beforeAutospacing="0" w:after="240" w:afterAutospacing="0" w:line="276" w:lineRule="auto"/>
        <w:jc w:val="both"/>
      </w:pPr>
      <w:r>
        <w:t xml:space="preserve">2. </w:t>
      </w:r>
      <w:r w:rsidRPr="00C52E39">
        <w:t>Az értékelési és ellenőrzési módszerek, eljárások</w:t>
      </w:r>
    </w:p>
    <w:p w:rsidR="005267B2" w:rsidRDefault="005267B2" w:rsidP="005267B2">
      <w:pPr>
        <w:pStyle w:val="NormlWeb"/>
        <w:spacing w:before="0" w:beforeAutospacing="0" w:after="120" w:afterAutospacing="0" w:line="276" w:lineRule="auto"/>
        <w:jc w:val="both"/>
      </w:pPr>
      <w:r>
        <w:t>Az értékelés és az ellenőrzés módszerei a zenei felsőoktatásban általánosan megszokottakhoz igazodnak.</w:t>
      </w:r>
    </w:p>
    <w:p w:rsidR="005267B2" w:rsidRDefault="005267B2" w:rsidP="005267B2">
      <w:pPr>
        <w:pStyle w:val="NormlWeb"/>
        <w:spacing w:before="0" w:beforeAutospacing="0" w:after="120" w:afterAutospacing="0" w:line="276" w:lineRule="auto"/>
        <w:jc w:val="both"/>
      </w:pPr>
      <w:r>
        <w:t>A főtárgy, a kamarazene esetében a számonkérés értelemszerűen óráról órára történik, emellett főtárgyból az első félév végén nyilvános vizsgahangverseny, a második félév végén önálló diplomahangverseny van.</w:t>
      </w:r>
    </w:p>
    <w:p w:rsidR="005267B2" w:rsidRDefault="005267B2" w:rsidP="005267B2">
      <w:pPr>
        <w:pStyle w:val="NormlWeb"/>
        <w:spacing w:before="0" w:beforeAutospacing="0" w:after="0" w:afterAutospacing="0" w:line="276" w:lineRule="auto"/>
        <w:jc w:val="both"/>
      </w:pPr>
      <w:r>
        <w:t>A hallgató teljesítményének értékelése háromfokozatú és ötfokozatú gyakorlati jeggyel és ötfokozatú vizsgajeggyel történik.</w:t>
      </w:r>
    </w:p>
    <w:p w:rsidR="005267B2" w:rsidRDefault="005267B2" w:rsidP="005267B2">
      <w:pPr>
        <w:pStyle w:val="NormlWeb"/>
        <w:spacing w:before="0" w:beforeAutospacing="0" w:after="0" w:afterAutospacing="0" w:line="276" w:lineRule="auto"/>
        <w:jc w:val="both"/>
      </w:pPr>
    </w:p>
    <w:p w:rsidR="005267B2" w:rsidRPr="00C52E39" w:rsidRDefault="005267B2" w:rsidP="005267B2">
      <w:pPr>
        <w:pStyle w:val="NormlWeb"/>
        <w:spacing w:before="0" w:beforeAutospacing="0" w:after="0" w:afterAutospacing="0" w:line="276" w:lineRule="auto"/>
        <w:jc w:val="both"/>
      </w:pPr>
    </w:p>
    <w:p w:rsidR="005267B2" w:rsidRDefault="005267B2" w:rsidP="005267B2">
      <w:pPr>
        <w:pStyle w:val="NormlWeb"/>
        <w:spacing w:before="0" w:beforeAutospacing="0" w:after="0" w:afterAutospacing="0" w:line="276" w:lineRule="auto"/>
        <w:jc w:val="both"/>
      </w:pPr>
    </w:p>
    <w:p w:rsidR="005267B2" w:rsidRDefault="005267B2" w:rsidP="005267B2">
      <w:pPr>
        <w:pStyle w:val="NormlWeb"/>
        <w:spacing w:before="0" w:beforeAutospacing="0" w:after="0" w:afterAutospacing="0" w:line="276" w:lineRule="auto"/>
        <w:jc w:val="both"/>
      </w:pPr>
    </w:p>
    <w:p w:rsidR="005267B2" w:rsidRDefault="005267B2" w:rsidP="005267B2">
      <w:pPr>
        <w:pStyle w:val="NormlWeb"/>
        <w:spacing w:before="0" w:beforeAutospacing="0" w:after="240" w:afterAutospacing="0" w:line="276" w:lineRule="auto"/>
        <w:jc w:val="both"/>
      </w:pPr>
      <w:r w:rsidRPr="00D144E8">
        <w:rPr>
          <w:iCs/>
        </w:rPr>
        <w:t>3. A</w:t>
      </w:r>
      <w:r>
        <w:t xml:space="preserve"> korábban szerzett ismeretek, gyakorlatok beszámítási rendje</w:t>
      </w:r>
    </w:p>
    <w:p w:rsidR="005267B2" w:rsidRDefault="005267B2" w:rsidP="005267B2">
      <w:pPr>
        <w:pStyle w:val="NormlWeb"/>
        <w:spacing w:before="0" w:beforeAutospacing="0" w:after="0" w:afterAutospacing="0" w:line="276" w:lineRule="auto"/>
        <w:jc w:val="both"/>
      </w:pPr>
      <w:r>
        <w:t>Korábban szerzett ismeretek beszámítására nincs lehetőség.</w:t>
      </w:r>
    </w:p>
    <w:p w:rsidR="000C260B" w:rsidRDefault="000C260B"/>
    <w:sectPr w:rsidR="000C260B" w:rsidSect="00225866">
      <w:footerReference w:type="default" r:id="rId4"/>
      <w:pgSz w:w="11906" w:h="16838"/>
      <w:pgMar w:top="1135" w:right="1417" w:bottom="1135" w:left="1417" w:header="708"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EE"/>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E39" w:rsidRPr="00C52E39" w:rsidRDefault="005267B2">
    <w:pPr>
      <w:pStyle w:val="llb"/>
      <w:jc w:val="center"/>
      <w:rPr>
        <w:rFonts w:ascii="Times New Roman" w:hAnsi="Times New Roman"/>
        <w:sz w:val="24"/>
        <w:szCs w:val="24"/>
      </w:rPr>
    </w:pPr>
    <w:r w:rsidRPr="00C52E39">
      <w:rPr>
        <w:rFonts w:ascii="Times New Roman" w:hAnsi="Times New Roman"/>
        <w:sz w:val="24"/>
        <w:szCs w:val="24"/>
      </w:rPr>
      <w:fldChar w:fldCharType="begin"/>
    </w:r>
    <w:r w:rsidRPr="00C52E39">
      <w:rPr>
        <w:rFonts w:ascii="Times New Roman" w:hAnsi="Times New Roman"/>
        <w:sz w:val="24"/>
        <w:szCs w:val="24"/>
      </w:rPr>
      <w:instrText xml:space="preserve"> PAGE   \* MERGEFORMAT </w:instrText>
    </w:r>
    <w:r w:rsidRPr="00C52E39">
      <w:rPr>
        <w:rFonts w:ascii="Times New Roman" w:hAnsi="Times New Roman"/>
        <w:sz w:val="24"/>
        <w:szCs w:val="24"/>
      </w:rPr>
      <w:fldChar w:fldCharType="separate"/>
    </w:r>
    <w:r>
      <w:rPr>
        <w:rFonts w:ascii="Times New Roman" w:hAnsi="Times New Roman"/>
        <w:noProof/>
        <w:sz w:val="24"/>
        <w:szCs w:val="24"/>
      </w:rPr>
      <w:t>1</w:t>
    </w:r>
    <w:r w:rsidRPr="00C52E39">
      <w:rPr>
        <w:rFonts w:ascii="Times New Roman" w:hAnsi="Times New Roman"/>
        <w:sz w:val="24"/>
        <w:szCs w:val="24"/>
      </w:rPr>
      <w:fldChar w:fldCharType="end"/>
    </w:r>
  </w:p>
  <w:p w:rsidR="00C52E39" w:rsidRDefault="005267B2">
    <w:pPr>
      <w:pStyle w:val="llb"/>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useFELayout/>
  </w:compat>
  <w:rsids>
    <w:rsidRoot w:val="005267B2"/>
    <w:rsid w:val="000C260B"/>
    <w:rsid w:val="005267B2"/>
    <w:rsid w:val="00CC3A01"/>
  </w:rsids>
  <m:mathPr>
    <m:mathFont m:val="Cambria Math"/>
    <m:brkBin m:val="before"/>
    <m:brkBinSub m:val="--"/>
    <m:smallFrac m:val="off"/>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C260B"/>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5267B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5267B2"/>
    <w:pPr>
      <w:tabs>
        <w:tab w:val="center" w:pos="4536"/>
        <w:tab w:val="right" w:pos="9072"/>
      </w:tabs>
    </w:pPr>
    <w:rPr>
      <w:rFonts w:ascii="Calibri" w:eastAsia="Calibri" w:hAnsi="Calibri" w:cs="Times New Roman"/>
      <w:lang w:eastAsia="en-US"/>
    </w:rPr>
  </w:style>
  <w:style w:type="character" w:customStyle="1" w:styleId="llbChar">
    <w:name w:val="Élőláb Char"/>
    <w:basedOn w:val="Bekezdsalapbettpusa"/>
    <w:link w:val="llb"/>
    <w:uiPriority w:val="99"/>
    <w:rsid w:val="005267B2"/>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577</Words>
  <Characters>3988</Characters>
  <Application>Microsoft Office Word</Application>
  <DocSecurity>0</DocSecurity>
  <Lines>33</Lines>
  <Paragraphs>9</Paragraphs>
  <ScaleCrop>false</ScaleCrop>
  <Company>LFZE</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2013-07-05T13:39:00Z</dcterms:created>
  <dcterms:modified xsi:type="dcterms:W3CDTF">2013-07-05T13:40:00Z</dcterms:modified>
</cp:coreProperties>
</file>